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6A" w:rsidRPr="00F3326A" w:rsidRDefault="003B712F" w:rsidP="00F3326A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Angsana New" w:eastAsia="Times New Roman" w:hAnsi="Angsana New" w:cs="Angsana New"/>
          <w:sz w:val="52"/>
          <w:szCs w:val="52"/>
        </w:rPr>
      </w:pPr>
      <w:bookmarkStart w:id="0" w:name="_GoBack"/>
      <w:bookmarkEnd w:id="0"/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658240" behindDoc="0" locked="0" layoutInCell="1" allowOverlap="1">
            <wp:simplePos x="1459865" y="914400"/>
            <wp:positionH relativeFrom="margin">
              <wp:align>left</wp:align>
            </wp:positionH>
            <wp:positionV relativeFrom="margin">
              <wp:align>top</wp:align>
            </wp:positionV>
            <wp:extent cx="3657600" cy="1249045"/>
            <wp:effectExtent l="0" t="0" r="0" b="8255"/>
            <wp:wrapSquare wrapText="bothSides"/>
            <wp:docPr id="1" name="Picture 1" descr="http://t3.gstatic.com/images?q=tbn:ANd9GcSllDqbCfv5PsdSWuruMPNSUEf_9pDAeBmFZozBD0AarwxXOsNb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SllDqbCfv5PsdSWuruMPNSUEf_9pDAeBmFZozBD0AarwxXOsNb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24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326A">
        <w:rPr>
          <w:rFonts w:ascii="Angsana New" w:eastAsia="Times New Roman" w:hAnsi="Angsana New" w:cs="Angsana New"/>
          <w:sz w:val="52"/>
          <w:szCs w:val="52"/>
        </w:rPr>
        <w:t>Pennsylvania Community on Transition</w:t>
      </w:r>
    </w:p>
    <w:p w:rsidR="00F3326A" w:rsidRDefault="00F3326A" w:rsidP="00F3326A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Angsana New" w:eastAsia="Times New Roman" w:hAnsi="Angsana New" w:cs="Angsana New"/>
          <w:sz w:val="52"/>
          <w:szCs w:val="52"/>
        </w:rPr>
      </w:pPr>
      <w:r w:rsidRPr="00F3326A">
        <w:rPr>
          <w:rFonts w:ascii="Angsana New" w:eastAsia="Times New Roman" w:hAnsi="Angsana New" w:cs="Angsana New"/>
          <w:sz w:val="52"/>
          <w:szCs w:val="52"/>
        </w:rPr>
        <w:t>2013 -2014 Webinar Schedule</w:t>
      </w:r>
    </w:p>
    <w:p w:rsidR="003B712F" w:rsidRPr="00F3326A" w:rsidRDefault="003B712F" w:rsidP="00F3326A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Angsana New" w:eastAsia="Times New Roman" w:hAnsi="Angsana New" w:cs="Angsana New"/>
          <w:sz w:val="52"/>
          <w:szCs w:val="52"/>
        </w:rPr>
      </w:pPr>
    </w:p>
    <w:tbl>
      <w:tblPr>
        <w:tblStyle w:val="TableGrid1"/>
        <w:tblW w:w="13518" w:type="dxa"/>
        <w:tblLook w:val="04A0" w:firstRow="1" w:lastRow="0" w:firstColumn="1" w:lastColumn="0" w:noHBand="0" w:noVBand="1"/>
      </w:tblPr>
      <w:tblGrid>
        <w:gridCol w:w="3258"/>
        <w:gridCol w:w="3060"/>
        <w:gridCol w:w="7200"/>
      </w:tblGrid>
      <w:tr w:rsidR="00F3326A" w:rsidRPr="00F3326A" w:rsidTr="00F3326A">
        <w:tc>
          <w:tcPr>
            <w:tcW w:w="3258" w:type="dxa"/>
            <w:shd w:val="clear" w:color="auto" w:fill="FFFFFF" w:themeFill="background1"/>
          </w:tcPr>
          <w:p w:rsidR="00F3326A" w:rsidRPr="00F3326A" w:rsidRDefault="00F3326A" w:rsidP="00F3326A">
            <w:pPr>
              <w:rPr>
                <w:rFonts w:ascii="Calibri" w:hAnsi="Calibri" w:cs="Times New Roman"/>
                <w:b/>
                <w:sz w:val="40"/>
                <w:szCs w:val="36"/>
                <w14:shadow w14:blurRad="41275" w14:dist="12700" w14:dir="12000000" w14:sx="100000" w14:sy="100000" w14:kx="0" w14:ky="0" w14:algn="tl">
                  <w14:srgbClr w14:val="000000">
                    <w14:alpha w14:val="60000"/>
                  </w14:srgbClr>
                </w14:shadow>
                <w14:textOutline w14:w="15773" w14:cap="flat" w14:cmpd="sng" w14:algn="ctr">
                  <w14:gradFill>
                    <w14:gsLst>
                      <w14:gs w14:pos="25000">
                        <w14:srgbClr w14:val="4F81BD">
                          <w14:shade w14:val="25000"/>
                          <w14:satMod w14:val="190000"/>
                        </w14:srgbClr>
                      </w14:gs>
                      <w14:gs w14:pos="80000">
                        <w14:srgbClr w14:val="4F81BD">
                          <w14:tint w14:val="75000"/>
                          <w14:satMod w14:val="190000"/>
                        </w14:srgb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F3326A">
              <w:rPr>
                <w:rFonts w:ascii="Calibri" w:hAnsi="Calibri" w:cs="Times New Roman"/>
                <w:b/>
                <w:sz w:val="40"/>
                <w:szCs w:val="36"/>
                <w14:shadow w14:blurRad="41275" w14:dist="12700" w14:dir="12000000" w14:sx="100000" w14:sy="100000" w14:kx="0" w14:ky="0" w14:algn="tl">
                  <w14:srgbClr w14:val="000000">
                    <w14:alpha w14:val="60000"/>
                  </w14:srgbClr>
                </w14:shadow>
                <w14:textOutline w14:w="15773" w14:cap="flat" w14:cmpd="sng" w14:algn="ctr">
                  <w14:gradFill>
                    <w14:gsLst>
                      <w14:gs w14:pos="25000">
                        <w14:srgbClr w14:val="4F81BD">
                          <w14:shade w14:val="25000"/>
                          <w14:satMod w14:val="190000"/>
                        </w14:srgbClr>
                      </w14:gs>
                      <w14:gs w14:pos="80000">
                        <w14:srgbClr w14:val="4F81BD">
                          <w14:tint w14:val="75000"/>
                          <w14:satMod w14:val="190000"/>
                        </w14:srgb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DATE</w:t>
            </w:r>
          </w:p>
        </w:tc>
        <w:tc>
          <w:tcPr>
            <w:tcW w:w="3060" w:type="dxa"/>
            <w:shd w:val="clear" w:color="auto" w:fill="FFFFFF" w:themeFill="background1"/>
          </w:tcPr>
          <w:p w:rsidR="00F3326A" w:rsidRPr="00F3326A" w:rsidRDefault="00F3326A" w:rsidP="00F3326A">
            <w:pPr>
              <w:rPr>
                <w:rFonts w:ascii="Calibri" w:hAnsi="Calibri" w:cs="Times New Roman"/>
                <w:b/>
                <w:sz w:val="40"/>
                <w:szCs w:val="36"/>
                <w14:shadow w14:blurRad="41275" w14:dist="12700" w14:dir="12000000" w14:sx="100000" w14:sy="100000" w14:kx="0" w14:ky="0" w14:algn="tl">
                  <w14:srgbClr w14:val="000000">
                    <w14:alpha w14:val="60000"/>
                  </w14:srgbClr>
                </w14:shadow>
                <w14:textOutline w14:w="15773" w14:cap="flat" w14:cmpd="sng" w14:algn="ctr">
                  <w14:gradFill>
                    <w14:gsLst>
                      <w14:gs w14:pos="25000">
                        <w14:srgbClr w14:val="4F81BD">
                          <w14:shade w14:val="25000"/>
                          <w14:satMod w14:val="190000"/>
                        </w14:srgbClr>
                      </w14:gs>
                      <w14:gs w14:pos="80000">
                        <w14:srgbClr w14:val="4F81BD">
                          <w14:tint w14:val="75000"/>
                          <w14:satMod w14:val="190000"/>
                        </w14:srgb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F3326A">
              <w:rPr>
                <w:rFonts w:ascii="Calibri" w:hAnsi="Calibri" w:cs="Times New Roman"/>
                <w:b/>
                <w:sz w:val="40"/>
                <w:szCs w:val="36"/>
                <w14:shadow w14:blurRad="41275" w14:dist="12700" w14:dir="12000000" w14:sx="100000" w14:sy="100000" w14:kx="0" w14:ky="0" w14:algn="tl">
                  <w14:srgbClr w14:val="000000">
                    <w14:alpha w14:val="60000"/>
                  </w14:srgbClr>
                </w14:shadow>
                <w14:textOutline w14:w="15773" w14:cap="flat" w14:cmpd="sng" w14:algn="ctr">
                  <w14:gradFill>
                    <w14:gsLst>
                      <w14:gs w14:pos="25000">
                        <w14:srgbClr w14:val="4F81BD">
                          <w14:shade w14:val="25000"/>
                          <w14:satMod w14:val="190000"/>
                        </w14:srgbClr>
                      </w14:gs>
                      <w14:gs w14:pos="80000">
                        <w14:srgbClr w14:val="4F81BD">
                          <w14:tint w14:val="75000"/>
                          <w14:satMod w14:val="190000"/>
                        </w14:srgb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TIME</w:t>
            </w:r>
          </w:p>
        </w:tc>
        <w:tc>
          <w:tcPr>
            <w:tcW w:w="7200" w:type="dxa"/>
            <w:shd w:val="clear" w:color="auto" w:fill="FFFFFF" w:themeFill="background1"/>
          </w:tcPr>
          <w:p w:rsidR="00F3326A" w:rsidRPr="00F3326A" w:rsidRDefault="00F3326A" w:rsidP="00F3326A">
            <w:pPr>
              <w:rPr>
                <w:rFonts w:ascii="Calibri" w:hAnsi="Calibri" w:cs="Times New Roman"/>
                <w:b/>
                <w:sz w:val="40"/>
                <w:szCs w:val="36"/>
                <w14:shadow w14:blurRad="41275" w14:dist="12700" w14:dir="12000000" w14:sx="100000" w14:sy="100000" w14:kx="0" w14:ky="0" w14:algn="tl">
                  <w14:srgbClr w14:val="000000">
                    <w14:alpha w14:val="60000"/>
                  </w14:srgbClr>
                </w14:shadow>
                <w14:textOutline w14:w="15773" w14:cap="flat" w14:cmpd="sng" w14:algn="ctr">
                  <w14:gradFill>
                    <w14:gsLst>
                      <w14:gs w14:pos="25000">
                        <w14:srgbClr w14:val="4F81BD">
                          <w14:shade w14:val="25000"/>
                          <w14:satMod w14:val="190000"/>
                        </w14:srgbClr>
                      </w14:gs>
                      <w14:gs w14:pos="80000">
                        <w14:srgbClr w14:val="4F81BD">
                          <w14:tint w14:val="75000"/>
                          <w14:satMod w14:val="190000"/>
                        </w14:srgb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F3326A">
              <w:rPr>
                <w:rFonts w:ascii="Calibri" w:hAnsi="Calibri" w:cs="Times New Roman"/>
                <w:b/>
                <w:sz w:val="40"/>
                <w:szCs w:val="36"/>
                <w14:shadow w14:blurRad="41275" w14:dist="12700" w14:dir="12000000" w14:sx="100000" w14:sy="100000" w14:kx="0" w14:ky="0" w14:algn="tl">
                  <w14:srgbClr w14:val="000000">
                    <w14:alpha w14:val="60000"/>
                  </w14:srgbClr>
                </w14:shadow>
                <w14:textOutline w14:w="15773" w14:cap="flat" w14:cmpd="sng" w14:algn="ctr">
                  <w14:gradFill>
                    <w14:gsLst>
                      <w14:gs w14:pos="25000">
                        <w14:srgbClr w14:val="4F81BD">
                          <w14:shade w14:val="25000"/>
                          <w14:satMod w14:val="190000"/>
                        </w14:srgbClr>
                      </w14:gs>
                      <w14:gs w14:pos="80000">
                        <w14:srgbClr w14:val="4F81BD">
                          <w14:tint w14:val="75000"/>
                          <w14:satMod w14:val="190000"/>
                        </w14:srgb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TITLE</w:t>
            </w:r>
          </w:p>
        </w:tc>
      </w:tr>
      <w:tr w:rsidR="00F3326A" w:rsidRPr="00F3326A" w:rsidTr="00F3326A">
        <w:tc>
          <w:tcPr>
            <w:tcW w:w="3258" w:type="dxa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F3326A">
              <w:rPr>
                <w:rFonts w:ascii="Calibri" w:hAnsi="Calibri" w:cs="Times New Roman"/>
                <w:sz w:val="36"/>
              </w:rPr>
              <w:t>October 16, 2013</w:t>
            </w:r>
          </w:p>
        </w:tc>
        <w:tc>
          <w:tcPr>
            <w:tcW w:w="3060" w:type="dxa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F3326A">
              <w:rPr>
                <w:rFonts w:ascii="Calibri" w:hAnsi="Calibri" w:cs="Times New Roman"/>
                <w:sz w:val="36"/>
              </w:rPr>
              <w:t>9:00 am - 11:00 am</w:t>
            </w:r>
          </w:p>
        </w:tc>
        <w:tc>
          <w:tcPr>
            <w:tcW w:w="7200" w:type="dxa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F3326A">
              <w:rPr>
                <w:rFonts w:ascii="Calibri" w:hAnsi="Calibri" w:cs="Times New Roman"/>
                <w:sz w:val="36"/>
              </w:rPr>
              <w:t xml:space="preserve">Effective Practices in Secondary Transition  </w:t>
            </w:r>
          </w:p>
        </w:tc>
      </w:tr>
      <w:tr w:rsidR="00F3326A" w:rsidRPr="00F3326A" w:rsidTr="00F3326A">
        <w:tc>
          <w:tcPr>
            <w:tcW w:w="3258" w:type="dxa"/>
            <w:shd w:val="clear" w:color="auto" w:fill="D9D9D9" w:themeFill="background1" w:themeFillShade="D9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>
              <w:rPr>
                <w:rFonts w:ascii="Calibri" w:hAnsi="Calibri" w:cs="Times New Roman"/>
                <w:sz w:val="36"/>
              </w:rPr>
              <w:t xml:space="preserve">November 20, </w:t>
            </w:r>
            <w:r w:rsidRPr="00F3326A">
              <w:rPr>
                <w:rFonts w:ascii="Calibri" w:hAnsi="Calibri" w:cs="Times New Roman"/>
                <w:sz w:val="36"/>
              </w:rPr>
              <w:t>2013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F3326A">
              <w:rPr>
                <w:rFonts w:ascii="Calibri" w:hAnsi="Calibri" w:cs="Times New Roman"/>
                <w:sz w:val="36"/>
              </w:rPr>
              <w:t>9:00 am - 11:00 am</w:t>
            </w:r>
          </w:p>
        </w:tc>
        <w:tc>
          <w:tcPr>
            <w:tcW w:w="7200" w:type="dxa"/>
            <w:shd w:val="clear" w:color="auto" w:fill="D9D9D9" w:themeFill="background1" w:themeFillShade="D9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F3326A">
              <w:rPr>
                <w:rFonts w:ascii="Calibri" w:hAnsi="Calibri" w:cs="Times New Roman"/>
                <w:sz w:val="36"/>
              </w:rPr>
              <w:t xml:space="preserve">Financial Education  </w:t>
            </w:r>
          </w:p>
        </w:tc>
      </w:tr>
      <w:tr w:rsidR="00F3326A" w:rsidRPr="00F3326A" w:rsidTr="00F3326A">
        <w:tc>
          <w:tcPr>
            <w:tcW w:w="3258" w:type="dxa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F3326A">
              <w:rPr>
                <w:rFonts w:ascii="Calibri" w:hAnsi="Calibri" w:cs="Times New Roman"/>
                <w:sz w:val="36"/>
              </w:rPr>
              <w:t>December 11, 2013</w:t>
            </w:r>
          </w:p>
        </w:tc>
        <w:tc>
          <w:tcPr>
            <w:tcW w:w="3060" w:type="dxa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F3326A">
              <w:rPr>
                <w:rFonts w:ascii="Calibri" w:hAnsi="Calibri" w:cs="Times New Roman"/>
                <w:sz w:val="36"/>
              </w:rPr>
              <w:t>9:00 am - 11:00 am</w:t>
            </w:r>
          </w:p>
        </w:tc>
        <w:tc>
          <w:tcPr>
            <w:tcW w:w="7200" w:type="dxa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F3326A">
              <w:rPr>
                <w:rFonts w:ascii="Calibri" w:hAnsi="Calibri" w:cs="Times New Roman"/>
                <w:sz w:val="36"/>
              </w:rPr>
              <w:t>Successful Health Transitions</w:t>
            </w:r>
          </w:p>
        </w:tc>
      </w:tr>
      <w:tr w:rsidR="00F3326A" w:rsidRPr="00F3326A" w:rsidTr="00F3326A">
        <w:tc>
          <w:tcPr>
            <w:tcW w:w="3258" w:type="dxa"/>
            <w:shd w:val="clear" w:color="auto" w:fill="D9D9D9" w:themeFill="background1" w:themeFillShade="D9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F3326A">
              <w:rPr>
                <w:rFonts w:ascii="Calibri" w:hAnsi="Calibri" w:cs="Times New Roman"/>
                <w:sz w:val="36"/>
              </w:rPr>
              <w:t>January 8, 2014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F3326A">
              <w:rPr>
                <w:rFonts w:ascii="Calibri" w:hAnsi="Calibri" w:cs="Times New Roman"/>
                <w:sz w:val="36"/>
              </w:rPr>
              <w:t>9:00 am - 11:00 am</w:t>
            </w:r>
          </w:p>
        </w:tc>
        <w:tc>
          <w:tcPr>
            <w:tcW w:w="7200" w:type="dxa"/>
            <w:shd w:val="clear" w:color="auto" w:fill="D9D9D9" w:themeFill="background1" w:themeFillShade="D9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F3326A">
              <w:rPr>
                <w:rFonts w:ascii="Calibri" w:hAnsi="Calibri" w:cs="Times New Roman"/>
                <w:sz w:val="36"/>
              </w:rPr>
              <w:t>Labor Laws</w:t>
            </w:r>
          </w:p>
        </w:tc>
      </w:tr>
      <w:tr w:rsidR="00F3326A" w:rsidRPr="00F3326A" w:rsidTr="00F3326A">
        <w:tc>
          <w:tcPr>
            <w:tcW w:w="3258" w:type="dxa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F3326A">
              <w:rPr>
                <w:rFonts w:ascii="Calibri" w:hAnsi="Calibri" w:cs="Times New Roman"/>
                <w:sz w:val="36"/>
              </w:rPr>
              <w:t>January 22, 2014</w:t>
            </w:r>
          </w:p>
        </w:tc>
        <w:tc>
          <w:tcPr>
            <w:tcW w:w="3060" w:type="dxa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F3326A">
              <w:rPr>
                <w:rFonts w:ascii="Calibri" w:hAnsi="Calibri" w:cs="Times New Roman"/>
                <w:sz w:val="36"/>
              </w:rPr>
              <w:t>9:00 am - 11:00 am</w:t>
            </w:r>
          </w:p>
        </w:tc>
        <w:tc>
          <w:tcPr>
            <w:tcW w:w="7200" w:type="dxa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F3326A">
              <w:rPr>
                <w:rFonts w:ascii="Calibri" w:hAnsi="Calibri" w:cs="Times New Roman"/>
                <w:sz w:val="36"/>
              </w:rPr>
              <w:t>Transitions for Youth Who are Deaf</w:t>
            </w:r>
          </w:p>
        </w:tc>
      </w:tr>
      <w:tr w:rsidR="00F3326A" w:rsidRPr="00F3326A" w:rsidTr="00F3326A">
        <w:tc>
          <w:tcPr>
            <w:tcW w:w="3258" w:type="dxa"/>
            <w:shd w:val="clear" w:color="auto" w:fill="D9D9D9" w:themeFill="background1" w:themeFillShade="D9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F3326A">
              <w:rPr>
                <w:rFonts w:ascii="Calibri" w:hAnsi="Calibri" w:cs="Times New Roman"/>
                <w:sz w:val="36"/>
              </w:rPr>
              <w:t>March 5, 2014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F3326A">
              <w:rPr>
                <w:rFonts w:ascii="Calibri" w:hAnsi="Calibri" w:cs="Times New Roman"/>
                <w:sz w:val="36"/>
              </w:rPr>
              <w:t>9:00 am - 11:00 am</w:t>
            </w:r>
          </w:p>
        </w:tc>
        <w:tc>
          <w:tcPr>
            <w:tcW w:w="7200" w:type="dxa"/>
            <w:shd w:val="clear" w:color="auto" w:fill="D9D9D9" w:themeFill="background1" w:themeFillShade="D9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F3326A">
              <w:rPr>
                <w:rFonts w:ascii="Calibri" w:hAnsi="Calibri" w:cs="Times New Roman"/>
                <w:sz w:val="36"/>
              </w:rPr>
              <w:t>Instructional Accessible Materials</w:t>
            </w:r>
          </w:p>
        </w:tc>
      </w:tr>
      <w:tr w:rsidR="00F3326A" w:rsidRPr="00F3326A" w:rsidTr="00F3326A">
        <w:tc>
          <w:tcPr>
            <w:tcW w:w="3258" w:type="dxa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F3326A">
              <w:rPr>
                <w:rFonts w:ascii="Calibri" w:hAnsi="Calibri" w:cs="Times New Roman"/>
                <w:sz w:val="36"/>
              </w:rPr>
              <w:t>March 19, 2014</w:t>
            </w:r>
          </w:p>
        </w:tc>
        <w:tc>
          <w:tcPr>
            <w:tcW w:w="3060" w:type="dxa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F3326A">
              <w:rPr>
                <w:rFonts w:ascii="Calibri" w:hAnsi="Calibri" w:cs="Times New Roman"/>
                <w:sz w:val="36"/>
              </w:rPr>
              <w:t>9:00 am - 11:00 am</w:t>
            </w:r>
          </w:p>
        </w:tc>
        <w:tc>
          <w:tcPr>
            <w:tcW w:w="7200" w:type="dxa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F3326A">
              <w:rPr>
                <w:rFonts w:ascii="Calibri" w:hAnsi="Calibri" w:cs="Times New Roman"/>
                <w:sz w:val="36"/>
              </w:rPr>
              <w:t>Secondary Transition and Inclusive Practices</w:t>
            </w:r>
          </w:p>
        </w:tc>
      </w:tr>
      <w:tr w:rsidR="00F3326A" w:rsidRPr="00F3326A" w:rsidTr="00F3326A">
        <w:tc>
          <w:tcPr>
            <w:tcW w:w="3258" w:type="dxa"/>
            <w:shd w:val="clear" w:color="auto" w:fill="D9D9D9" w:themeFill="background1" w:themeFillShade="D9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3B712F">
              <w:rPr>
                <w:rFonts w:ascii="Calibri" w:hAnsi="Calibri" w:cs="Times New Roman"/>
                <w:sz w:val="36"/>
              </w:rPr>
              <w:t>April 30, 2014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3B712F">
              <w:rPr>
                <w:rFonts w:ascii="Calibri" w:hAnsi="Calibri" w:cs="Times New Roman"/>
                <w:sz w:val="36"/>
              </w:rPr>
              <w:t>9:00 am - 11:00 am</w:t>
            </w:r>
          </w:p>
        </w:tc>
        <w:tc>
          <w:tcPr>
            <w:tcW w:w="7200" w:type="dxa"/>
            <w:shd w:val="clear" w:color="auto" w:fill="D9D9D9" w:themeFill="background1" w:themeFillShade="D9"/>
          </w:tcPr>
          <w:p w:rsidR="00F3326A" w:rsidRPr="00F3326A" w:rsidRDefault="00F3326A" w:rsidP="00F3326A">
            <w:pPr>
              <w:rPr>
                <w:rFonts w:ascii="Calibri" w:hAnsi="Calibri" w:cs="Times New Roman"/>
                <w:sz w:val="36"/>
              </w:rPr>
            </w:pPr>
            <w:r w:rsidRPr="003B712F">
              <w:rPr>
                <w:rFonts w:ascii="Calibri" w:hAnsi="Calibri" w:cs="Times New Roman"/>
                <w:sz w:val="36"/>
              </w:rPr>
              <w:t>Employment Options</w:t>
            </w:r>
          </w:p>
        </w:tc>
      </w:tr>
    </w:tbl>
    <w:p w:rsidR="003B712F" w:rsidRDefault="003B712F" w:rsidP="003B712F">
      <w:pPr>
        <w:tabs>
          <w:tab w:val="center" w:pos="4680"/>
          <w:tab w:val="right" w:pos="9360"/>
        </w:tabs>
        <w:spacing w:after="0" w:line="240" w:lineRule="auto"/>
        <w:rPr>
          <w:rFonts w:ascii="Angsana New" w:eastAsia="Times New Roman" w:hAnsi="Angsana New" w:cs="Angsana New"/>
          <w:sz w:val="52"/>
          <w:szCs w:val="52"/>
        </w:rPr>
      </w:pPr>
    </w:p>
    <w:p w:rsidR="003B712F" w:rsidRDefault="003B712F" w:rsidP="003B712F">
      <w:pPr>
        <w:tabs>
          <w:tab w:val="center" w:pos="4680"/>
          <w:tab w:val="right" w:pos="9360"/>
        </w:tabs>
        <w:spacing w:after="0" w:line="240" w:lineRule="auto"/>
        <w:rPr>
          <w:rFonts w:ascii="Angsana New" w:eastAsia="Times New Roman" w:hAnsi="Angsana New" w:cs="Angsana New"/>
          <w:sz w:val="52"/>
          <w:szCs w:val="52"/>
        </w:rPr>
      </w:pPr>
      <w:r>
        <w:rPr>
          <w:rFonts w:ascii="Angsana New" w:eastAsia="Times New Roman" w:hAnsi="Angsana New" w:cs="Angsana New"/>
          <w:sz w:val="52"/>
          <w:szCs w:val="52"/>
        </w:rPr>
        <w:t xml:space="preserve">Please plan on participating in our informational webinar series throughout 2013-14.  Additional information and registration will be available on the </w:t>
      </w:r>
      <w:proofErr w:type="spellStart"/>
      <w:r>
        <w:rPr>
          <w:rFonts w:ascii="Angsana New" w:eastAsia="Times New Roman" w:hAnsi="Angsana New" w:cs="Angsana New"/>
          <w:sz w:val="52"/>
          <w:szCs w:val="52"/>
        </w:rPr>
        <w:t>PaTTAN</w:t>
      </w:r>
      <w:proofErr w:type="spellEnd"/>
      <w:r>
        <w:rPr>
          <w:rFonts w:ascii="Angsana New" w:eastAsia="Times New Roman" w:hAnsi="Angsana New" w:cs="Angsana New"/>
          <w:sz w:val="52"/>
          <w:szCs w:val="52"/>
        </w:rPr>
        <w:t xml:space="preserve"> website (</w:t>
      </w:r>
      <w:hyperlink r:id="rId7" w:history="1">
        <w:r w:rsidRPr="008D4BDB">
          <w:rPr>
            <w:rStyle w:val="Hyperlink"/>
            <w:rFonts w:ascii="Angsana New" w:eastAsia="Times New Roman" w:hAnsi="Angsana New" w:cs="Angsana New"/>
            <w:sz w:val="52"/>
            <w:szCs w:val="52"/>
          </w:rPr>
          <w:t>www.pattan.net</w:t>
        </w:r>
      </w:hyperlink>
      <w:r>
        <w:rPr>
          <w:rFonts w:ascii="Angsana New" w:eastAsia="Times New Roman" w:hAnsi="Angsana New" w:cs="Angsana New"/>
          <w:sz w:val="52"/>
          <w:szCs w:val="52"/>
        </w:rPr>
        <w:t xml:space="preserve">) and at </w:t>
      </w:r>
      <w:hyperlink r:id="rId8" w:history="1">
        <w:r w:rsidRPr="008D4BDB">
          <w:rPr>
            <w:rStyle w:val="Hyperlink"/>
            <w:rFonts w:ascii="Angsana New" w:eastAsia="Times New Roman" w:hAnsi="Angsana New" w:cs="Angsana New"/>
            <w:sz w:val="52"/>
            <w:szCs w:val="52"/>
          </w:rPr>
          <w:t>www.secondarytransition.org</w:t>
        </w:r>
      </w:hyperlink>
      <w:r>
        <w:rPr>
          <w:rFonts w:ascii="Angsana New" w:eastAsia="Times New Roman" w:hAnsi="Angsana New" w:cs="Angsana New"/>
          <w:sz w:val="52"/>
          <w:szCs w:val="52"/>
        </w:rPr>
        <w:t xml:space="preserve"> by September 1, 2013</w:t>
      </w:r>
    </w:p>
    <w:p w:rsidR="005E45DD" w:rsidRDefault="00EA5A8C" w:rsidP="00F3326A"/>
    <w:sectPr w:rsidR="005E45DD" w:rsidSect="00F3326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26A"/>
    <w:rsid w:val="003B712F"/>
    <w:rsid w:val="00AA2B79"/>
    <w:rsid w:val="00EA5A8C"/>
    <w:rsid w:val="00F328E7"/>
    <w:rsid w:val="00F3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F3326A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33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B712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1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F3326A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33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B712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1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ondarytransition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ttan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q=webinar&amp;biw=1250&amp;bih=552&amp;tbm=isch&amp;tbnid=7RkbEA8g6-UTzM:&amp;imgrefurl=http://thebusinessarchitect.accelare.com/2013/05/27/webinar-selling-business-architecture/&amp;docid=eu3I3GnFXeyHGM&amp;imgurl=http://thebusinessarchitetdotaccelaredotcom.files.wordpress.com/2013/05/webinar-blocks.jpg&amp;w=3273&amp;h=1122&amp;ei=ZlfmUZKFFsmOqwHdsAE&amp;zoom=1&amp;ved=1t:3588,r:15,s:0,i:133&amp;iact=rc&amp;page=2&amp;tbnh=112&amp;tbnw=328&amp;start=10&amp;ndsp=15&amp;tx=233&amp;ty=3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Stoehr</dc:creator>
  <cp:lastModifiedBy>Michael Stoehr</cp:lastModifiedBy>
  <cp:revision>2</cp:revision>
  <dcterms:created xsi:type="dcterms:W3CDTF">2013-08-12T10:06:00Z</dcterms:created>
  <dcterms:modified xsi:type="dcterms:W3CDTF">2013-08-12T10:06:00Z</dcterms:modified>
</cp:coreProperties>
</file>